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包头市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勘察设计</w:t>
      </w:r>
      <w:r>
        <w:rPr>
          <w:rFonts w:hint="eastAsia" w:ascii="宋体" w:hAnsi="宋体" w:cs="宋体"/>
          <w:b/>
          <w:sz w:val="44"/>
          <w:szCs w:val="44"/>
        </w:rPr>
        <w:t>优秀企业评选办法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（试行）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第一章  总  则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第一条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为贯彻落实自治区政府扶优扶强的产业战略，培育和发展优势骨干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企业，树立典范、表彰先进，推动和鼓励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企业加强科学管理，提高经济效益和综合实力，特制定本办法。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评选工作由包头建筑业协会组织实施，在企业自愿申报的基础上，遵循“公平择优、扶优扶强、鼓励先进”的原则进行。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第三条  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优秀企业评选活动每年评选一次，评选对象为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从事建设工程的勘察设计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章   申报范围和条件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第四条  申报企业范围和条件：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一、申报单位必须是包头建筑业协会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勘察设计分会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会员单位；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、认真贯彻党的路线、方针、政策，以习近平新时代中国特色社会主义思想为指导，锐意进取，改革创新，遵纪守法，依法经营；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企业经营管理模式领先，每年完成产值、利润、上缴税收等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各项经济技术指标处于同类企业先进水平，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有较高的合同履约率，企业社会形象良好；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企业基础管理扎实，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管理体系健全，有完善的信息管理制度；各项统计数据报送及时、完整、准确；重视技术开发和人才培训，积极引进和采用新技术成果，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要素配置合理，能够依靠技术进步和人才队伍建设提高工程质量；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五、在市场行为中有较强的社会责任感，企业凝聚力强，为社会做出贡献，得到社会认可和满意；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六、近两年获得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市级及以上建设行政主管部门或行业协会颁发的企业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类奖项；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、企业管理体系健全，质量、安全、人力、合同、财务等各项管理制度完善；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、参评企业近两年如发生群体性质量投诉，造成社会不良影响事件，不得参与评选；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、自觉维护建筑市场秩序，如发生挂靠、转包、违法分包承接工程等违规行为，不得参与评选；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十、申报材料内容真实可靠，不弄虚作假，否则取消评选资格。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申报要求和程序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第五条  申报材料要求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和程序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优秀企业申报表；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已取得营业执照、资质证书证书；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三、各项管理制度完善，质量、安全、人力、合同、财务等管理制度复印件；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四、2023年度审计报告复印件；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近两年获得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市级及以上建设行政主管部门或行业协会颁发的企业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类奖项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社会贡献扶贫济困、资助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参与抢险救灾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的证明资料；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质量管理体系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安全生产管理体系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职业健康安全体系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环境管理体系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证书复印件；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八、企业注重科技投入和科技创新、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近两年获得国家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主编或参编标准、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自治区级工法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科技奖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等复印件。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章  复查和评审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包头建筑业协会对上报材料的完整性、真实性进行初审，负责组织评审委员会对企业进行复查及评审。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  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优秀企业评审结果在“包头建筑业协会网站”公示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个工作日，无异议后由进行表彰。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获得“包头市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优秀企业”称号的，由包头建筑业协会优先推荐申报自治区、全国优秀企业。</w:t>
      </w:r>
    </w:p>
    <w:p>
      <w:pPr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章  监督管理</w:t>
      </w:r>
    </w:p>
    <w:p>
      <w:pPr>
        <w:pStyle w:val="5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评选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工作接受社会各界监督，任何单位和个人如对评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结果有异议的，均有权向政府主管部门和包头建筑业协会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反馈和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投诉。</w:t>
      </w:r>
    </w:p>
    <w:p>
      <w:pPr>
        <w:pStyle w:val="5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第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参评企业在申请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评选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过程中，不得有行贿、隐瞒事实、弄虚作假等行为。如发现有上述行为的，取消其参评资格；对已获得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包头市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勘察设计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优秀企业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取消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资格并进行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公告，且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年内不得重新申请。因虚假申报对社会公共利益造成损害或引发纠纷的，由参评单位及其有关责任人承担相关责任。</w:t>
      </w:r>
    </w:p>
    <w:p>
      <w:pPr>
        <w:pStyle w:val="5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</w:rPr>
        <w:t>第十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参与评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的人员，应遵守相关法律，秉公办事、廉洁自律。对于有影响评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结果公平、公正行为的人员，包头建筑业协会应当视其情节轻重和造成的后果，予以通报批评、取消其参加评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工作资格等处理。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>章  附  则</w:t>
      </w:r>
    </w:p>
    <w:p>
      <w:pPr>
        <w:ind w:firstLine="599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第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协会制定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负责解释。</w:t>
      </w:r>
    </w:p>
    <w:p>
      <w:pPr>
        <w:ind w:firstLine="642"/>
        <w:rPr>
          <w:rFonts w:hint="eastAsia" w:ascii="仿宋" w:hAnsi="仿宋" w:eastAsia="仿宋" w:cs="仿宋"/>
          <w:sz w:val="28"/>
          <w:szCs w:val="28"/>
        </w:rPr>
        <w:sectPr>
          <w:footerReference r:id="rId3" w:type="default"/>
          <w:pgSz w:w="11906" w:h="16838"/>
          <w:pgMar w:top="1134" w:right="1417" w:bottom="1134" w:left="1417" w:header="851" w:footer="992" w:gutter="0"/>
          <w:cols w:space="720" w:num="1"/>
          <w:docGrid w:type="lines" w:linePitch="316" w:charSpace="0"/>
        </w:sectPr>
      </w:pPr>
      <w:r>
        <w:rPr>
          <w:rFonts w:hint="eastAsia" w:ascii="仿宋" w:hAnsi="仿宋" w:eastAsia="仿宋"/>
          <w:b w:val="0"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/>
          <w:b w:val="0"/>
          <w:bCs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本办法自发布之日起施行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spacing w:line="620" w:lineRule="exact"/>
        <w:jc w:val="both"/>
        <w:rPr>
          <w:rFonts w:hint="eastAsia" w:ascii="仿宋" w:hAnsi="仿宋" w:eastAsia="仿宋" w:cs="仿宋"/>
          <w:b/>
          <w:bCs/>
          <w:spacing w:val="2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包头市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val="en-US" w:eastAsia="zh-CN"/>
        </w:rPr>
        <w:t>勘察设计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spacing w:val="20"/>
          <w:sz w:val="72"/>
          <w:szCs w:val="72"/>
        </w:rPr>
        <w:t>申</w:t>
      </w:r>
      <w:r>
        <w:rPr>
          <w:rFonts w:hint="eastAsia" w:ascii="仿宋" w:hAnsi="仿宋" w:eastAsia="仿宋" w:cs="仿宋"/>
          <w:b/>
          <w:bCs/>
          <w:spacing w:val="20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20"/>
          <w:sz w:val="72"/>
          <w:szCs w:val="72"/>
        </w:rPr>
        <w:t>报</w:t>
      </w:r>
      <w:r>
        <w:rPr>
          <w:rFonts w:hint="eastAsia" w:ascii="仿宋" w:hAnsi="仿宋" w:eastAsia="仿宋" w:cs="仿宋"/>
          <w:b/>
          <w:bCs/>
          <w:spacing w:val="20"/>
          <w:sz w:val="72"/>
          <w:szCs w:val="7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20"/>
          <w:sz w:val="72"/>
          <w:szCs w:val="7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sz w:val="36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36"/>
        </w:rPr>
      </w:pPr>
    </w:p>
    <w:p>
      <w:pPr>
        <w:spacing w:line="460" w:lineRule="exact"/>
        <w:rPr>
          <w:rFonts w:hint="eastAsia" w:ascii="仿宋" w:hAnsi="仿宋" w:eastAsia="仿宋" w:cs="仿宋"/>
          <w:b/>
          <w:sz w:val="36"/>
        </w:rPr>
      </w:pPr>
    </w:p>
    <w:p>
      <w:pPr>
        <w:spacing w:line="460" w:lineRule="exact"/>
        <w:rPr>
          <w:rFonts w:hint="eastAsia" w:ascii="仿宋" w:hAnsi="仿宋" w:eastAsia="仿宋" w:cs="仿宋"/>
          <w:b/>
          <w:sz w:val="36"/>
        </w:rPr>
      </w:pPr>
    </w:p>
    <w:p>
      <w:pPr>
        <w:spacing w:line="840" w:lineRule="exact"/>
        <w:ind w:firstLine="103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 业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(公章)</w:t>
      </w:r>
    </w:p>
    <w:p>
      <w:pPr>
        <w:spacing w:line="840" w:lineRule="exact"/>
        <w:ind w:firstLine="1034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资 质 类 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tabs>
          <w:tab w:val="left" w:pos="3435"/>
        </w:tabs>
        <w:spacing w:line="840" w:lineRule="exact"/>
        <w:ind w:firstLine="1033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(签名)</w:t>
      </w:r>
    </w:p>
    <w:p>
      <w:pPr>
        <w:spacing w:line="840" w:lineRule="exact"/>
        <w:rPr>
          <w:rFonts w:hint="eastAsia" w:ascii="仿宋" w:hAnsi="仿宋" w:eastAsia="仿宋" w:cs="仿宋"/>
          <w:sz w:val="24"/>
        </w:rPr>
      </w:pPr>
    </w:p>
    <w:p>
      <w:pPr>
        <w:spacing w:after="200" w:line="500" w:lineRule="exact"/>
        <w:rPr>
          <w:rFonts w:hint="eastAsia" w:ascii="仿宋" w:hAnsi="仿宋" w:eastAsia="仿宋" w:cs="仿宋"/>
          <w:sz w:val="36"/>
        </w:rPr>
      </w:pPr>
    </w:p>
    <w:p>
      <w:pPr>
        <w:spacing w:after="200" w:line="500" w:lineRule="exact"/>
        <w:rPr>
          <w:rFonts w:hint="eastAsia" w:ascii="仿宋" w:hAnsi="仿宋" w:eastAsia="仿宋" w:cs="仿宋"/>
          <w:sz w:val="36"/>
        </w:rPr>
      </w:pPr>
    </w:p>
    <w:p>
      <w:pPr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包头建筑业协会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制</w:t>
      </w:r>
    </w:p>
    <w:p>
      <w:pPr>
        <w:tabs>
          <w:tab w:val="left" w:pos="540"/>
          <w:tab w:val="left" w:pos="720"/>
          <w:tab w:val="left" w:pos="900"/>
        </w:tabs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</w:p>
    <w:p>
      <w:pPr>
        <w:tabs>
          <w:tab w:val="left" w:pos="540"/>
          <w:tab w:val="left" w:pos="720"/>
          <w:tab w:val="left" w:pos="900"/>
        </w:tabs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</w:p>
    <w:p>
      <w:pPr>
        <w:tabs>
          <w:tab w:val="left" w:pos="540"/>
          <w:tab w:val="left" w:pos="720"/>
          <w:tab w:val="left" w:pos="900"/>
        </w:tabs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填  表  说  明</w:t>
      </w:r>
    </w:p>
    <w:p>
      <w:pPr>
        <w:tabs>
          <w:tab w:val="left" w:pos="0"/>
        </w:tabs>
        <w:spacing w:line="400" w:lineRule="exact"/>
        <w:rPr>
          <w:rFonts w:hint="eastAsia" w:ascii="仿宋" w:hAnsi="仿宋" w:eastAsia="仿宋" w:cs="仿宋"/>
          <w:color w:val="000000"/>
          <w:sz w:val="28"/>
        </w:rPr>
      </w:pPr>
    </w:p>
    <w:p>
      <w:pPr>
        <w:tabs>
          <w:tab w:val="left" w:pos="0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1、</w:t>
      </w:r>
      <w:r>
        <w:rPr>
          <w:rFonts w:hint="eastAsia" w:ascii="仿宋" w:hAnsi="仿宋" w:eastAsia="仿宋"/>
          <w:color w:val="000000"/>
          <w:sz w:val="28"/>
        </w:rPr>
        <w:t>各栏统一用标准四号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仿宋</w:t>
      </w:r>
      <w:r>
        <w:rPr>
          <w:rFonts w:hint="eastAsia" w:ascii="仿宋" w:hAnsi="仿宋" w:eastAsia="仿宋"/>
          <w:color w:val="000000"/>
          <w:sz w:val="28"/>
        </w:rPr>
        <w:t>体填写</w:t>
      </w:r>
      <w:r>
        <w:rPr>
          <w:rFonts w:hint="eastAsia" w:ascii="仿宋" w:hAnsi="仿宋" w:eastAsia="仿宋"/>
          <w:color w:val="000000"/>
          <w:sz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申报企业根据表中要求签字、加盖公章。</w:t>
      </w:r>
    </w:p>
    <w:p>
      <w:pPr>
        <w:tabs>
          <w:tab w:val="left" w:pos="0"/>
        </w:tabs>
        <w:spacing w:line="360" w:lineRule="auto"/>
        <w:ind w:firstLine="570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2、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字迹</w:t>
      </w:r>
      <w:r>
        <w:rPr>
          <w:rFonts w:hint="eastAsia" w:ascii="仿宋" w:hAnsi="仿宋" w:eastAsia="仿宋" w:cs="仿宋"/>
          <w:color w:val="000000"/>
          <w:sz w:val="28"/>
        </w:rPr>
        <w:t>应清晰端正，不得遗漏，本表各页面一经填写不得涂改。</w:t>
      </w:r>
    </w:p>
    <w:p>
      <w:pPr>
        <w:tabs>
          <w:tab w:val="left" w:pos="0"/>
        </w:tabs>
        <w:spacing w:line="360" w:lineRule="auto"/>
        <w:ind w:firstLine="570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3、申报企业应根据本企业实际情况具体填写。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</w:rPr>
      </w:pPr>
    </w:p>
    <w:p>
      <w:pPr>
        <w:tabs>
          <w:tab w:val="left" w:pos="4845"/>
        </w:tabs>
        <w:spacing w:after="200" w:line="500" w:lineRule="exact"/>
        <w:jc w:val="left"/>
        <w:rPr>
          <w:rFonts w:hint="eastAsia" w:ascii="仿宋" w:hAnsi="仿宋" w:eastAsia="仿宋" w:cs="仿宋"/>
          <w:sz w:val="36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承 诺 书</w:t>
      </w:r>
    </w:p>
    <w:tbl>
      <w:tblPr>
        <w:tblStyle w:val="6"/>
        <w:tblpPr w:leftFromText="180" w:rightFromText="180" w:vertAnchor="text" w:horzAnchor="page" w:tblpX="1464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91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本单位自愿申请参加包头市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勘察设计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优秀企业评选。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（单位名称）近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年未发生过群体性投诉，造成社会不良影响事件。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自觉维护建筑市场秩序，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年未发生违法违规或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严重失信行为而受到行政处罚，申报包头市勘察设计优秀企业所上报的资料全部真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实、合法、有效，并对因材料虚假所引发的一切后果负责。</w:t>
            </w:r>
          </w:p>
          <w:p>
            <w:pPr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91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法定代表人签字:                       申报单位公章：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注：1、签字、公章、日期须填写完整；</w:t>
      </w:r>
    </w:p>
    <w:p>
      <w:pPr>
        <w:ind w:left="959" w:leftChars="228" w:hanging="480" w:hanging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2、对提供虚假材料的取消本次参评资格，并记录不良行为一次，两年内取消一切评优、评奖资格。</w:t>
      </w:r>
    </w:p>
    <w:p>
      <w:pPr>
        <w:spacing w:after="200" w:line="500" w:lineRule="exact"/>
        <w:jc w:val="center"/>
        <w:rPr>
          <w:rFonts w:hint="eastAsia" w:ascii="仿宋" w:hAnsi="仿宋" w:eastAsia="仿宋" w:cs="仿宋"/>
          <w:sz w:val="36"/>
        </w:rPr>
      </w:pPr>
    </w:p>
    <w:p>
      <w:pPr>
        <w:spacing w:after="200" w:line="5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after="200" w:line="5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一、申报企业基本情况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67"/>
        <w:gridCol w:w="1190"/>
        <w:gridCol w:w="1274"/>
        <w:gridCol w:w="1417"/>
        <w:gridCol w:w="1114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908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    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594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48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  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代表人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31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39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 业 简 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5" w:hRule="atLeast"/>
          <w:jc w:val="center"/>
        </w:trPr>
        <w:tc>
          <w:tcPr>
            <w:tcW w:w="10439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如实撰写业绩材料。（内容主要包括：企业的基本情况和现状，企业发展采取的主要措施和先进管理办法，各项经济指标情况，所获得的各项表彰和荣誉等，2000字左右），可另附页。</w:t>
            </w:r>
          </w:p>
        </w:tc>
      </w:tr>
    </w:tbl>
    <w:p>
      <w:pPr>
        <w:spacing w:after="20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after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、202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年度主要指标</w:t>
      </w:r>
    </w:p>
    <w:tbl>
      <w:tblPr>
        <w:tblStyle w:val="6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2089"/>
        <w:gridCol w:w="1278"/>
        <w:gridCol w:w="113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营业收入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上缴税收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近两年建筑业总产值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spacing w:line="660" w:lineRule="exact"/>
              <w:ind w:right="28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spacing w:line="660" w:lineRule="exact"/>
              <w:ind w:right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spacing w:line="6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spacing w:line="6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近两年净资产收益率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wordWrap w:val="0"/>
              <w:spacing w:line="6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wordWrap w:val="0"/>
              <w:spacing w:line="6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893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近两年市场行为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参与抢险救灾       项；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为社会做出贡献     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9893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近两年获得市级（含）以上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企业类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奖项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9893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获得设计类奖项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893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近两年科技进步管理情况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获得国家级“专利”       项；</w:t>
            </w:r>
          </w:p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主编或参编标准           项；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获得省级（含）以上“工法”     项；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获得市级（含）以上“科技示范工程”    项；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after="240"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after="240"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三、推荐、评审意见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3" w:hRule="atLeast"/>
          <w:jc w:val="center"/>
        </w:trPr>
        <w:tc>
          <w:tcPr>
            <w:tcW w:w="93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申报企业意见</w:t>
            </w:r>
          </w:p>
        </w:tc>
        <w:tc>
          <w:tcPr>
            <w:tcW w:w="92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4620" w:firstLineChars="16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1509" w:firstLineChars="53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负责人签字：                       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企业公章：          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firstLine="5852" w:firstLineChars="209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7" w:hRule="atLeast"/>
          <w:jc w:val="center"/>
        </w:trPr>
        <w:tc>
          <w:tcPr>
            <w:tcW w:w="930" w:type="dxa"/>
            <w:noWrap w:val="0"/>
            <w:textDirection w:val="tbRlV"/>
            <w:vAlign w:val="center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包头建筑业协会意见</w:t>
            </w:r>
          </w:p>
        </w:tc>
        <w:tc>
          <w:tcPr>
            <w:tcW w:w="9236" w:type="dxa"/>
            <w:noWrap w:val="0"/>
            <w:vAlign w:val="top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负责人签字：                            单位公章：                  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leftChars="54" w:right="113" w:firstLine="1260" w:firstLineChars="45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right="113" w:firstLine="5880" w:firstLineChars="21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0045755F"/>
    <w:rsid w:val="00060822"/>
    <w:rsid w:val="000E0820"/>
    <w:rsid w:val="001260FE"/>
    <w:rsid w:val="001971CD"/>
    <w:rsid w:val="001E36DF"/>
    <w:rsid w:val="00204661"/>
    <w:rsid w:val="00215AAB"/>
    <w:rsid w:val="002253CE"/>
    <w:rsid w:val="0023183F"/>
    <w:rsid w:val="002478F6"/>
    <w:rsid w:val="0027589F"/>
    <w:rsid w:val="003A26F2"/>
    <w:rsid w:val="003B004F"/>
    <w:rsid w:val="003B68B7"/>
    <w:rsid w:val="0045755F"/>
    <w:rsid w:val="004845CE"/>
    <w:rsid w:val="004969FC"/>
    <w:rsid w:val="004B36AD"/>
    <w:rsid w:val="0051232B"/>
    <w:rsid w:val="005502AF"/>
    <w:rsid w:val="005520D5"/>
    <w:rsid w:val="005925AC"/>
    <w:rsid w:val="006275C0"/>
    <w:rsid w:val="00681CF3"/>
    <w:rsid w:val="006E1BEB"/>
    <w:rsid w:val="00720A46"/>
    <w:rsid w:val="00737D66"/>
    <w:rsid w:val="007C2ECF"/>
    <w:rsid w:val="008A126E"/>
    <w:rsid w:val="008A78C6"/>
    <w:rsid w:val="008B2880"/>
    <w:rsid w:val="008D3CC0"/>
    <w:rsid w:val="00A01641"/>
    <w:rsid w:val="00A07030"/>
    <w:rsid w:val="00B371F8"/>
    <w:rsid w:val="00BF2FE7"/>
    <w:rsid w:val="00C1775E"/>
    <w:rsid w:val="00C557A3"/>
    <w:rsid w:val="00C668DA"/>
    <w:rsid w:val="00C81FDB"/>
    <w:rsid w:val="00D327F4"/>
    <w:rsid w:val="00D926C7"/>
    <w:rsid w:val="00E11413"/>
    <w:rsid w:val="00FB70B3"/>
    <w:rsid w:val="020A7229"/>
    <w:rsid w:val="0357170D"/>
    <w:rsid w:val="09C21E79"/>
    <w:rsid w:val="160E47DB"/>
    <w:rsid w:val="16764C63"/>
    <w:rsid w:val="16A458B5"/>
    <w:rsid w:val="17D943A9"/>
    <w:rsid w:val="1A4823A9"/>
    <w:rsid w:val="21EF347D"/>
    <w:rsid w:val="22D459C6"/>
    <w:rsid w:val="254324A9"/>
    <w:rsid w:val="279024E2"/>
    <w:rsid w:val="28B43D12"/>
    <w:rsid w:val="292D0E33"/>
    <w:rsid w:val="2F5E1E73"/>
    <w:rsid w:val="31A63A85"/>
    <w:rsid w:val="34EF2901"/>
    <w:rsid w:val="35DF4B32"/>
    <w:rsid w:val="371161A9"/>
    <w:rsid w:val="37920F34"/>
    <w:rsid w:val="3F427759"/>
    <w:rsid w:val="41B277C6"/>
    <w:rsid w:val="42303338"/>
    <w:rsid w:val="42C60384"/>
    <w:rsid w:val="464A673E"/>
    <w:rsid w:val="497F36B2"/>
    <w:rsid w:val="4FA15887"/>
    <w:rsid w:val="51D575C9"/>
    <w:rsid w:val="54517E5F"/>
    <w:rsid w:val="55765594"/>
    <w:rsid w:val="56107925"/>
    <w:rsid w:val="588E2251"/>
    <w:rsid w:val="599E1F1E"/>
    <w:rsid w:val="5AF01470"/>
    <w:rsid w:val="5CF92248"/>
    <w:rsid w:val="5E6040E3"/>
    <w:rsid w:val="5EFA75A3"/>
    <w:rsid w:val="65655E21"/>
    <w:rsid w:val="65A02459"/>
    <w:rsid w:val="67E662A5"/>
    <w:rsid w:val="69567550"/>
    <w:rsid w:val="6B4B1258"/>
    <w:rsid w:val="6BBF4FDA"/>
    <w:rsid w:val="6C93544B"/>
    <w:rsid w:val="6C9515EF"/>
    <w:rsid w:val="6CB20D4C"/>
    <w:rsid w:val="718E2FDD"/>
    <w:rsid w:val="7494007C"/>
    <w:rsid w:val="7500315C"/>
    <w:rsid w:val="75FE64A5"/>
    <w:rsid w:val="7C3515D0"/>
    <w:rsid w:val="7D2B38FB"/>
    <w:rsid w:val="7DFB7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日期 Char"/>
    <w:basedOn w:val="8"/>
    <w:link w:val="2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页脚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2462</Words>
  <Characters>2521</Characters>
  <Lines>3</Lines>
  <Paragraphs>1</Paragraphs>
  <TotalTime>7</TotalTime>
  <ScaleCrop>false</ScaleCrop>
  <LinksUpToDate>false</LinksUpToDate>
  <CharactersWithSpaces>2963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2023-02-10T00:53:00Z</dcterms:created>
  <dc:creator>Administrator</dc:creator>
  <cp:lastModifiedBy>菅凯！</cp:lastModifiedBy>
  <cp:lastPrinted>2023-06-12T07:17:00Z</cp:lastPrinted>
  <dcterms:modified xsi:type="dcterms:W3CDTF">2024-04-19T07:54:59Z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5C49F74FEA8E4195A7A7732B9247AECF_13</vt:lpwstr>
  </property>
</Properties>
</file>