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"/>
        </w:rPr>
        <w:t>2023年度包头市诚信建筑业施工企业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bidi="ar"/>
        </w:rPr>
        <w:t>提供资料清单</w:t>
      </w:r>
    </w:p>
    <w:p>
      <w:pPr>
        <w:jc w:val="left"/>
        <w:rPr>
          <w:rFonts w:hint="default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  <w:t>起止时间：2022年10月1日—2023年10月1日</w:t>
      </w:r>
    </w:p>
    <w:tbl>
      <w:tblPr>
        <w:tblStyle w:val="3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252"/>
        <w:gridCol w:w="3000"/>
        <w:gridCol w:w="1556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奖项名称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颁发单位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颁发时间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  <w:bookmarkStart w:id="0" w:name="_GoBack"/>
            <w:bookmarkEnd w:id="0"/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155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vertAlign w:val="baseline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0C075ED1"/>
    <w:rsid w:val="0C0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2023-12-27T03:49:00Z</dcterms:created>
  <dc:creator>菅凯！</dc:creator>
  <cp:lastModifiedBy>菅凯！</cp:lastModifiedBy>
  <dcterms:modified xsi:type="dcterms:W3CDTF">2023-12-27T03:50:19Z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4CD8D87C9FE44F0B93130CDEC2BF7F75_11</vt:lpwstr>
  </property>
</Properties>
</file>